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F4E4" w14:textId="753C2236" w:rsidR="00A731DC" w:rsidRPr="00A731DC" w:rsidRDefault="00A731DC" w:rsidP="00A731DC">
      <w:pPr>
        <w:spacing w:after="0" w:line="419" w:lineRule="auto"/>
        <w:ind w:left="164" w:right="-29" w:hanging="10"/>
        <w:jc w:val="center"/>
        <w:rPr>
          <w:rFonts w:asciiTheme="minorHAnsi" w:hAnsiTheme="minorHAnsi" w:cstheme="minorHAnsi"/>
          <w:b/>
          <w:bCs/>
          <w:color w:val="auto"/>
          <w:sz w:val="24"/>
        </w:rPr>
      </w:pPr>
      <w:r w:rsidRPr="00A731DC">
        <w:rPr>
          <w:rFonts w:asciiTheme="minorHAnsi" w:hAnsiTheme="minorHAnsi" w:cstheme="minorHAnsi"/>
          <w:b/>
          <w:bCs/>
          <w:color w:val="auto"/>
          <w:sz w:val="24"/>
        </w:rPr>
        <w:t>Partnerskabsaftale mellem</w:t>
      </w:r>
    </w:p>
    <w:p w14:paraId="689FC271" w14:textId="64939F25" w:rsidR="00A731DC" w:rsidRPr="00A731DC" w:rsidRDefault="00A731DC" w:rsidP="00A731DC">
      <w:pPr>
        <w:spacing w:after="212" w:line="259" w:lineRule="auto"/>
        <w:ind w:left="154" w:firstLine="0"/>
        <w:jc w:val="center"/>
        <w:rPr>
          <w:rFonts w:asciiTheme="minorHAnsi" w:hAnsiTheme="minorHAnsi" w:cstheme="minorHAnsi"/>
          <w:b/>
          <w:bCs/>
          <w:color w:val="auto"/>
          <w:sz w:val="24"/>
        </w:rPr>
      </w:pPr>
      <w:r w:rsidRPr="00A731DC">
        <w:rPr>
          <w:rFonts w:asciiTheme="minorHAnsi" w:hAnsiTheme="minorHAnsi" w:cstheme="minorHAnsi"/>
          <w:b/>
          <w:bCs/>
          <w:color w:val="auto"/>
          <w:sz w:val="24"/>
        </w:rPr>
        <w:t>MIO</w:t>
      </w:r>
    </w:p>
    <w:p w14:paraId="53F34D61" w14:textId="77777777" w:rsidR="00A731DC" w:rsidRPr="00A731DC" w:rsidRDefault="00A731DC" w:rsidP="00A731DC">
      <w:pPr>
        <w:spacing w:after="320" w:line="259" w:lineRule="auto"/>
        <w:ind w:left="149" w:firstLine="0"/>
        <w:jc w:val="center"/>
        <w:rPr>
          <w:rFonts w:asciiTheme="minorHAnsi" w:hAnsiTheme="minorHAnsi" w:cstheme="minorHAnsi"/>
          <w:b/>
          <w:bCs/>
          <w:color w:val="auto"/>
          <w:sz w:val="24"/>
        </w:rPr>
      </w:pPr>
      <w:r w:rsidRPr="00A731DC">
        <w:rPr>
          <w:rFonts w:asciiTheme="minorHAnsi" w:hAnsiTheme="minorHAnsi" w:cstheme="minorHAnsi"/>
          <w:b/>
          <w:bCs/>
          <w:color w:val="auto"/>
          <w:sz w:val="24"/>
        </w:rPr>
        <w:t>og</w:t>
      </w:r>
    </w:p>
    <w:p w14:paraId="4302F8F9" w14:textId="002B3E86" w:rsidR="00A731DC" w:rsidRPr="00A731DC" w:rsidRDefault="00A731DC" w:rsidP="00A731DC">
      <w:pPr>
        <w:spacing w:line="240" w:lineRule="auto"/>
        <w:jc w:val="center"/>
        <w:rPr>
          <w:rFonts w:cstheme="minorHAnsi"/>
          <w:b/>
          <w:bCs/>
          <w:color w:val="auto"/>
          <w:sz w:val="24"/>
        </w:rPr>
      </w:pPr>
      <w:r w:rsidRPr="00A731DC">
        <w:rPr>
          <w:rFonts w:cstheme="minorHAnsi"/>
          <w:b/>
          <w:bCs/>
          <w:color w:val="auto"/>
          <w:sz w:val="24"/>
        </w:rPr>
        <w:t xml:space="preserve"> </w:t>
      </w:r>
      <w:r>
        <w:rPr>
          <w:rFonts w:cstheme="minorHAnsi"/>
          <w:b/>
          <w:bCs/>
          <w:color w:val="auto"/>
          <w:sz w:val="24"/>
        </w:rPr>
        <w:t>Royal Greenland A/S</w:t>
      </w:r>
    </w:p>
    <w:p w14:paraId="64163F26" w14:textId="77777777" w:rsidR="00A731DC" w:rsidRPr="00A731DC" w:rsidRDefault="00A731DC" w:rsidP="00A731DC">
      <w:pPr>
        <w:rPr>
          <w:rFonts w:cstheme="minorHAnsi"/>
          <w:b/>
          <w:bCs/>
          <w:color w:val="auto"/>
          <w:sz w:val="24"/>
        </w:rPr>
      </w:pPr>
    </w:p>
    <w:p w14:paraId="448174B7" w14:textId="77777777" w:rsidR="00A731DC" w:rsidRPr="00A731DC" w:rsidRDefault="00A731DC" w:rsidP="00A731DC">
      <w:pPr>
        <w:jc w:val="center"/>
        <w:rPr>
          <w:rFonts w:cstheme="minorHAnsi"/>
          <w:b/>
          <w:bCs/>
          <w:color w:val="auto"/>
          <w:sz w:val="32"/>
          <w:szCs w:val="32"/>
        </w:rPr>
      </w:pPr>
      <w:r w:rsidRPr="00A731DC">
        <w:rPr>
          <w:rFonts w:cstheme="minorHAnsi"/>
          <w:b/>
          <w:bCs/>
          <w:color w:val="auto"/>
          <w:sz w:val="32"/>
          <w:szCs w:val="32"/>
        </w:rPr>
        <w:t>Sammen for børnenes rettigheder</w:t>
      </w:r>
    </w:p>
    <w:p w14:paraId="35675724" w14:textId="77777777" w:rsidR="00A731DC" w:rsidRPr="00A731DC" w:rsidRDefault="00A731DC" w:rsidP="00A731DC">
      <w:pPr>
        <w:rPr>
          <w:rFonts w:cstheme="minorHAnsi"/>
          <w:color w:val="auto"/>
          <w:sz w:val="24"/>
        </w:rPr>
      </w:pPr>
      <w:r w:rsidRPr="00A731DC">
        <w:rPr>
          <w:rFonts w:cstheme="minorHAnsi"/>
          <w:color w:val="auto"/>
          <w:sz w:val="24"/>
        </w:rPr>
        <w:t xml:space="preserve">Denne partnerskabsaftale mellem børnerettighedsinstitutionen MIO og Royal Greenland A/S har til formål at udbrede information om børns rettigheder i Grønland. Partnerskabet er gældende i 5 år efter underskrivelsen af dette dokument, og evalueres én gang årligt. Første evaluering vil finde sted 1 år efter underskrivelsen. </w:t>
      </w:r>
    </w:p>
    <w:p w14:paraId="5886BE91" w14:textId="77777777" w:rsidR="00A731DC" w:rsidRPr="00A731DC" w:rsidRDefault="00A731DC" w:rsidP="00A731DC">
      <w:pPr>
        <w:rPr>
          <w:rFonts w:cstheme="minorHAnsi"/>
          <w:b/>
          <w:bCs/>
          <w:color w:val="auto"/>
          <w:sz w:val="24"/>
        </w:rPr>
      </w:pPr>
      <w:r w:rsidRPr="00A731DC">
        <w:rPr>
          <w:rFonts w:cstheme="minorHAnsi"/>
          <w:b/>
          <w:bCs/>
          <w:color w:val="auto"/>
          <w:sz w:val="24"/>
        </w:rPr>
        <w:t>Baggrund for aftalen</w:t>
      </w:r>
    </w:p>
    <w:p w14:paraId="4449AD3F" w14:textId="77777777" w:rsidR="00A731DC" w:rsidRPr="00A731DC" w:rsidRDefault="00A731DC" w:rsidP="00A731DC">
      <w:pPr>
        <w:rPr>
          <w:rFonts w:cstheme="minorHAnsi"/>
          <w:color w:val="auto"/>
          <w:sz w:val="24"/>
        </w:rPr>
      </w:pPr>
      <w:r w:rsidRPr="00A731DC">
        <w:rPr>
          <w:rFonts w:cstheme="minorHAnsi"/>
          <w:color w:val="auto"/>
          <w:sz w:val="24"/>
        </w:rPr>
        <w:t xml:space="preserve">I 2014 blev første partnerskabsaftale mellem MIO og Royal Greenland underskrevet med det formål, at udbrede og forbedre kendskabet til børns rettigheder. I dag er det fortsat gældende, at begge parter ønsker at samarbejde om dette formål, hvorfor denne nye partnerskabsaftale indgås. </w:t>
      </w:r>
    </w:p>
    <w:p w14:paraId="59882B4B" w14:textId="77777777" w:rsidR="00A731DC" w:rsidRPr="00A731DC" w:rsidRDefault="00A731DC" w:rsidP="00A731DC">
      <w:pPr>
        <w:rPr>
          <w:rFonts w:cstheme="minorHAnsi"/>
          <w:color w:val="auto"/>
          <w:sz w:val="24"/>
        </w:rPr>
      </w:pPr>
      <w:r w:rsidRPr="00A731DC">
        <w:rPr>
          <w:rFonts w:cstheme="minorHAnsi"/>
          <w:color w:val="auto"/>
          <w:sz w:val="24"/>
        </w:rPr>
        <w:t xml:space="preserve">MIO har som børnerettighedsinstitution fokus på at øge viden blandt alle aldersgrupper i Grønland om FN’s børnekonvention, herunder børnenes rettigheder. Dette arbejde munder ud i konkrete indsatser som forbedrer hverdagen for udsatte børn og unge i Grønland. Partnerskabet med Royal Greenland er oplagt, da Royal Greenland som Grønlands største virksomhed har en stor kontaktflade til forældre rundt om i landet, da mange er ansat i virksomheden. Forældre er første kontaktled til børn, og derfor fungerer Royal Greenland som en oplagt medspiller i forhold til at bringe budskaber om børnenes rettigheder videre til dem. Derudover er Royal </w:t>
      </w:r>
      <w:proofErr w:type="spellStart"/>
      <w:r w:rsidRPr="00A731DC">
        <w:rPr>
          <w:rFonts w:cstheme="minorHAnsi"/>
          <w:color w:val="auto"/>
          <w:sz w:val="24"/>
        </w:rPr>
        <w:t>Greenlands</w:t>
      </w:r>
      <w:proofErr w:type="spellEnd"/>
      <w:r w:rsidRPr="00A731DC">
        <w:rPr>
          <w:rFonts w:cstheme="minorHAnsi"/>
          <w:color w:val="auto"/>
          <w:sz w:val="24"/>
        </w:rPr>
        <w:t xml:space="preserve"> produkter velkendte i samfundet og er synlige i stort set alle af landets fødevarebutikker. Royal Greenland har derfor ligeledes mulighed for visuelt at gøre opmærksom på børnenes rettigheder via de produkter der sælges.</w:t>
      </w:r>
    </w:p>
    <w:p w14:paraId="57F1BB2E" w14:textId="77777777" w:rsidR="00A731DC" w:rsidRPr="00A731DC" w:rsidRDefault="00A731DC" w:rsidP="00A731DC">
      <w:pPr>
        <w:rPr>
          <w:rFonts w:cstheme="minorHAnsi"/>
          <w:color w:val="auto"/>
          <w:sz w:val="24"/>
        </w:rPr>
      </w:pPr>
      <w:r w:rsidRPr="00A731DC">
        <w:rPr>
          <w:rFonts w:cstheme="minorHAnsi"/>
          <w:color w:val="auto"/>
          <w:sz w:val="24"/>
        </w:rPr>
        <w:t xml:space="preserve">Den grundlæggende årsag til partnerskabet findes dog i et gensidigt ønske om at udbrede kendskabet til børns rettigheder i Grønland og i den forbindelse tage et væsentligt samfundsansvar. </w:t>
      </w:r>
    </w:p>
    <w:p w14:paraId="6FA6B2DE" w14:textId="77777777" w:rsidR="00A731DC" w:rsidRPr="00A731DC" w:rsidRDefault="00A731DC" w:rsidP="00A731DC">
      <w:pPr>
        <w:rPr>
          <w:rFonts w:cstheme="minorHAnsi"/>
          <w:b/>
          <w:bCs/>
          <w:color w:val="auto"/>
          <w:sz w:val="24"/>
        </w:rPr>
      </w:pPr>
      <w:r w:rsidRPr="00A731DC">
        <w:rPr>
          <w:rFonts w:cstheme="minorHAnsi"/>
          <w:b/>
          <w:bCs/>
          <w:color w:val="auto"/>
          <w:sz w:val="24"/>
        </w:rPr>
        <w:t>Selve aftalen og parternes forpligtelser</w:t>
      </w:r>
    </w:p>
    <w:p w14:paraId="6928E2B6" w14:textId="77777777" w:rsidR="00A731DC" w:rsidRPr="00A731DC" w:rsidRDefault="00A731DC" w:rsidP="00A731DC">
      <w:pPr>
        <w:rPr>
          <w:rFonts w:cstheme="minorHAnsi"/>
          <w:color w:val="auto"/>
          <w:sz w:val="24"/>
        </w:rPr>
      </w:pPr>
      <w:r w:rsidRPr="00A731DC">
        <w:rPr>
          <w:rFonts w:cstheme="minorHAnsi"/>
          <w:color w:val="auto"/>
          <w:sz w:val="24"/>
        </w:rPr>
        <w:t>Med dette formelle partnerskab, aftaler MIO og Royal Greenland at samarbejde om igangsættelse af forskellige informationsindsatser og gensidig støtte herom. Mere konkret har parterne følgende forpligtelser:</w:t>
      </w:r>
    </w:p>
    <w:p w14:paraId="608E47E4" w14:textId="341B7DE6" w:rsidR="00A731DC" w:rsidRPr="00A731DC" w:rsidRDefault="00A731DC" w:rsidP="00A731DC">
      <w:pPr>
        <w:pStyle w:val="ListParagraph"/>
        <w:numPr>
          <w:ilvl w:val="0"/>
          <w:numId w:val="3"/>
        </w:numPr>
        <w:spacing w:after="200" w:line="276" w:lineRule="auto"/>
        <w:jc w:val="left"/>
        <w:rPr>
          <w:rFonts w:cstheme="minorHAnsi"/>
          <w:color w:val="auto"/>
          <w:sz w:val="24"/>
        </w:rPr>
      </w:pPr>
      <w:r w:rsidRPr="00A731DC">
        <w:rPr>
          <w:rFonts w:cstheme="minorHAnsi"/>
          <w:color w:val="auto"/>
          <w:sz w:val="24"/>
        </w:rPr>
        <w:t xml:space="preserve">Så længe aftalen er gældende, bidrager Royal Greenland økonomisk til </w:t>
      </w:r>
      <w:proofErr w:type="spellStart"/>
      <w:r w:rsidRPr="00A731DC">
        <w:rPr>
          <w:rFonts w:cstheme="minorHAnsi"/>
          <w:color w:val="auto"/>
          <w:sz w:val="24"/>
        </w:rPr>
        <w:t>MIO’s</w:t>
      </w:r>
      <w:proofErr w:type="spellEnd"/>
      <w:r w:rsidRPr="00A731DC">
        <w:rPr>
          <w:rFonts w:cstheme="minorHAnsi"/>
          <w:color w:val="auto"/>
          <w:sz w:val="24"/>
        </w:rPr>
        <w:t xml:space="preserve"> arbejde via årligt sponsorat på 50.000 kr. med mulighed for regulering hvert år. Det årlige sponsorbeløb betales forud den første bankdag i kalenderåret. Sponsorbeløbet for 2020 betales straks efter at aftalen er underskrevet. </w:t>
      </w:r>
    </w:p>
    <w:p w14:paraId="4D68E59F" w14:textId="77777777" w:rsidR="00A731DC" w:rsidRPr="00A731DC" w:rsidRDefault="00A731DC" w:rsidP="00A731DC">
      <w:pPr>
        <w:pStyle w:val="ListParagraph"/>
        <w:numPr>
          <w:ilvl w:val="0"/>
          <w:numId w:val="3"/>
        </w:numPr>
        <w:spacing w:after="200" w:line="276" w:lineRule="auto"/>
        <w:jc w:val="left"/>
        <w:rPr>
          <w:rFonts w:cstheme="minorHAnsi"/>
          <w:color w:val="auto"/>
          <w:sz w:val="24"/>
        </w:rPr>
      </w:pPr>
      <w:r w:rsidRPr="00A731DC">
        <w:rPr>
          <w:rFonts w:cstheme="minorHAnsi"/>
          <w:color w:val="auto"/>
          <w:sz w:val="24"/>
        </w:rPr>
        <w:t xml:space="preserve">Royal </w:t>
      </w:r>
      <w:proofErr w:type="spellStart"/>
      <w:r w:rsidRPr="00A731DC">
        <w:rPr>
          <w:rFonts w:cstheme="minorHAnsi"/>
          <w:color w:val="auto"/>
          <w:sz w:val="24"/>
        </w:rPr>
        <w:t>Greenlands</w:t>
      </w:r>
      <w:proofErr w:type="spellEnd"/>
      <w:r w:rsidRPr="00A731DC">
        <w:rPr>
          <w:rFonts w:cstheme="minorHAnsi"/>
          <w:color w:val="auto"/>
          <w:sz w:val="24"/>
        </w:rPr>
        <w:t xml:space="preserve"> logo fremgår på de af </w:t>
      </w:r>
      <w:proofErr w:type="spellStart"/>
      <w:r w:rsidRPr="00A731DC">
        <w:rPr>
          <w:rFonts w:cstheme="minorHAnsi"/>
          <w:color w:val="auto"/>
          <w:sz w:val="24"/>
        </w:rPr>
        <w:t>MIO’s</w:t>
      </w:r>
      <w:proofErr w:type="spellEnd"/>
      <w:r w:rsidRPr="00A731DC">
        <w:rPr>
          <w:rFonts w:cstheme="minorHAnsi"/>
          <w:color w:val="auto"/>
          <w:sz w:val="24"/>
        </w:rPr>
        <w:t xml:space="preserve"> materialer, informationskampagner og produkter som støttes helt eller delvist af sponsoratet fra Royal Greenland.  </w:t>
      </w:r>
    </w:p>
    <w:p w14:paraId="4C3DDEE6" w14:textId="77777777" w:rsidR="00A731DC" w:rsidRPr="00A731DC" w:rsidRDefault="00A731DC" w:rsidP="00A731DC">
      <w:pPr>
        <w:pStyle w:val="ListParagraph"/>
        <w:numPr>
          <w:ilvl w:val="0"/>
          <w:numId w:val="3"/>
        </w:numPr>
        <w:spacing w:after="200" w:line="276" w:lineRule="auto"/>
        <w:jc w:val="left"/>
        <w:rPr>
          <w:rFonts w:cstheme="minorHAnsi"/>
          <w:color w:val="auto"/>
          <w:sz w:val="24"/>
        </w:rPr>
      </w:pPr>
      <w:r w:rsidRPr="00A731DC">
        <w:rPr>
          <w:rFonts w:cstheme="minorHAnsi"/>
          <w:color w:val="auto"/>
          <w:sz w:val="24"/>
        </w:rPr>
        <w:t xml:space="preserve">Royal Greenland udbreder viden om børns rettigheder via egne informationskanaler, såsom hjemmeside, intranet, NAVIGATIO og sociale medier. </w:t>
      </w:r>
    </w:p>
    <w:p w14:paraId="7C9D0B19" w14:textId="77777777" w:rsidR="00A731DC" w:rsidRPr="00A731DC" w:rsidRDefault="00A731DC" w:rsidP="00A731DC">
      <w:pPr>
        <w:pStyle w:val="ListParagraph"/>
        <w:numPr>
          <w:ilvl w:val="0"/>
          <w:numId w:val="3"/>
        </w:numPr>
        <w:spacing w:after="200" w:line="276" w:lineRule="auto"/>
        <w:jc w:val="left"/>
        <w:rPr>
          <w:rFonts w:cstheme="minorHAnsi"/>
          <w:color w:val="auto"/>
          <w:sz w:val="24"/>
        </w:rPr>
      </w:pPr>
      <w:r w:rsidRPr="00A731DC">
        <w:rPr>
          <w:rFonts w:cstheme="minorHAnsi"/>
          <w:color w:val="auto"/>
          <w:sz w:val="24"/>
        </w:rPr>
        <w:t xml:space="preserve">MIO stiller fysisk informationsmateriale til rådighed for Royal Greenland i form af plakater, pjecer og lign. Derudover får Royal Greenland adgang til </w:t>
      </w:r>
      <w:proofErr w:type="spellStart"/>
      <w:r w:rsidRPr="00A731DC">
        <w:rPr>
          <w:rFonts w:cstheme="minorHAnsi"/>
          <w:color w:val="auto"/>
          <w:sz w:val="24"/>
        </w:rPr>
        <w:t>tekstmateriale</w:t>
      </w:r>
      <w:proofErr w:type="spellEnd"/>
      <w:r w:rsidRPr="00A731DC">
        <w:rPr>
          <w:rFonts w:cstheme="minorHAnsi"/>
          <w:color w:val="auto"/>
          <w:sz w:val="24"/>
        </w:rPr>
        <w:t xml:space="preserve"> og billeder fra MIO til brug på hjemmeside, intranet og sociale medier. </w:t>
      </w:r>
    </w:p>
    <w:p w14:paraId="2FBFAD5A" w14:textId="77777777" w:rsidR="00A731DC" w:rsidRPr="00A731DC" w:rsidRDefault="00A731DC" w:rsidP="00A731DC">
      <w:pPr>
        <w:pStyle w:val="ListParagraph"/>
        <w:numPr>
          <w:ilvl w:val="0"/>
          <w:numId w:val="3"/>
        </w:numPr>
        <w:spacing w:after="200" w:line="276" w:lineRule="auto"/>
        <w:jc w:val="left"/>
        <w:rPr>
          <w:rFonts w:cstheme="minorHAnsi"/>
          <w:color w:val="auto"/>
          <w:sz w:val="24"/>
        </w:rPr>
      </w:pPr>
      <w:r w:rsidRPr="00A731DC">
        <w:rPr>
          <w:rFonts w:cstheme="minorHAnsi"/>
          <w:color w:val="auto"/>
          <w:sz w:val="24"/>
        </w:rPr>
        <w:t xml:space="preserve">Royal Greenland bringer </w:t>
      </w:r>
      <w:proofErr w:type="spellStart"/>
      <w:r w:rsidRPr="00A731DC">
        <w:rPr>
          <w:rFonts w:cstheme="minorHAnsi"/>
          <w:color w:val="auto"/>
          <w:sz w:val="24"/>
        </w:rPr>
        <w:t>MIO’s</w:t>
      </w:r>
      <w:proofErr w:type="spellEnd"/>
      <w:r w:rsidRPr="00A731DC">
        <w:rPr>
          <w:rFonts w:cstheme="minorHAnsi"/>
          <w:color w:val="auto"/>
          <w:sz w:val="24"/>
        </w:rPr>
        <w:t xml:space="preserve"> logo på en række produkter. Hvilke produkter der udvælges til dette formål aftales løbende.</w:t>
      </w:r>
    </w:p>
    <w:p w14:paraId="676A257E" w14:textId="77777777" w:rsidR="00A731DC" w:rsidRPr="00A731DC" w:rsidRDefault="00A731DC" w:rsidP="00A731DC">
      <w:pPr>
        <w:pStyle w:val="ListParagraph"/>
        <w:numPr>
          <w:ilvl w:val="0"/>
          <w:numId w:val="3"/>
        </w:numPr>
        <w:spacing w:after="200" w:line="276" w:lineRule="auto"/>
        <w:jc w:val="left"/>
        <w:rPr>
          <w:rFonts w:cstheme="minorHAnsi"/>
          <w:color w:val="auto"/>
          <w:sz w:val="24"/>
        </w:rPr>
      </w:pPr>
      <w:r w:rsidRPr="00A731DC">
        <w:rPr>
          <w:rFonts w:cstheme="minorHAnsi"/>
          <w:color w:val="auto"/>
          <w:sz w:val="24"/>
        </w:rPr>
        <w:t xml:space="preserve">Royal Greenland underviser i børns rettigheder ved relevante kurser der afholdes for virksomhedens ansatte. Derudover får MIO mulighed for at undervise Royal </w:t>
      </w:r>
      <w:proofErr w:type="spellStart"/>
      <w:r w:rsidRPr="00A731DC">
        <w:rPr>
          <w:rFonts w:cstheme="minorHAnsi"/>
          <w:color w:val="auto"/>
          <w:sz w:val="24"/>
        </w:rPr>
        <w:t>Greenlands</w:t>
      </w:r>
      <w:proofErr w:type="spellEnd"/>
      <w:r w:rsidRPr="00A731DC">
        <w:rPr>
          <w:rFonts w:cstheme="minorHAnsi"/>
          <w:color w:val="auto"/>
          <w:sz w:val="24"/>
        </w:rPr>
        <w:t xml:space="preserve"> ansatte i børns rettigheder, når repræsentanter fra organisationen besøger en by eller bygd, hvor Royal Greenland har en fabrik eller anlæg. </w:t>
      </w:r>
    </w:p>
    <w:p w14:paraId="6E2D3DC5" w14:textId="77777777" w:rsidR="00A731DC" w:rsidRPr="00A731DC" w:rsidRDefault="00A731DC" w:rsidP="00A731DC">
      <w:pPr>
        <w:pStyle w:val="ListParagraph"/>
        <w:numPr>
          <w:ilvl w:val="0"/>
          <w:numId w:val="3"/>
        </w:numPr>
        <w:spacing w:after="200" w:line="276" w:lineRule="auto"/>
        <w:jc w:val="left"/>
        <w:rPr>
          <w:rFonts w:cstheme="minorHAnsi"/>
          <w:color w:val="auto"/>
          <w:sz w:val="24"/>
        </w:rPr>
      </w:pPr>
      <w:r w:rsidRPr="00A731DC">
        <w:rPr>
          <w:rFonts w:cstheme="minorHAnsi"/>
          <w:color w:val="auto"/>
          <w:sz w:val="24"/>
        </w:rPr>
        <w:t xml:space="preserve">MIO stiller undervisningsmateriale om børns rettigheder til rådighed for Royal Greenland. Således bliver Royal </w:t>
      </w:r>
      <w:proofErr w:type="spellStart"/>
      <w:r w:rsidRPr="00A731DC">
        <w:rPr>
          <w:rFonts w:cstheme="minorHAnsi"/>
          <w:color w:val="auto"/>
          <w:sz w:val="24"/>
        </w:rPr>
        <w:t>Greenlands</w:t>
      </w:r>
      <w:proofErr w:type="spellEnd"/>
      <w:r w:rsidRPr="00A731DC">
        <w:rPr>
          <w:rFonts w:cstheme="minorHAnsi"/>
          <w:color w:val="auto"/>
          <w:sz w:val="24"/>
        </w:rPr>
        <w:t xml:space="preserve"> ansatte klædt på til at videregive informationer herom. </w:t>
      </w:r>
    </w:p>
    <w:p w14:paraId="58A79717" w14:textId="77777777" w:rsidR="00A731DC" w:rsidRPr="00A731DC" w:rsidRDefault="00A731DC" w:rsidP="00A731DC">
      <w:pPr>
        <w:rPr>
          <w:rFonts w:cstheme="minorHAnsi"/>
          <w:color w:val="auto"/>
          <w:sz w:val="24"/>
        </w:rPr>
      </w:pPr>
      <w:r w:rsidRPr="00A731DC">
        <w:rPr>
          <w:rFonts w:cstheme="minorHAnsi"/>
          <w:color w:val="auto"/>
          <w:sz w:val="24"/>
        </w:rPr>
        <w:t>Udover at begge parter forpligter sig til ovenstående punkter, vil der jævnligt være gensidig sparring om de tiltag der igangsættes.</w:t>
      </w:r>
    </w:p>
    <w:p w14:paraId="305C362E" w14:textId="77777777" w:rsidR="00A731DC" w:rsidRPr="00A731DC" w:rsidRDefault="00A731DC" w:rsidP="00A731DC">
      <w:pPr>
        <w:rPr>
          <w:rFonts w:cstheme="minorHAnsi"/>
          <w:color w:val="auto"/>
          <w:sz w:val="24"/>
        </w:rPr>
      </w:pPr>
      <w:r w:rsidRPr="00A731DC">
        <w:rPr>
          <w:rFonts w:cstheme="minorHAnsi"/>
          <w:b/>
          <w:bCs/>
          <w:color w:val="auto"/>
          <w:sz w:val="24"/>
        </w:rPr>
        <w:t>Kontaktpersoner</w:t>
      </w:r>
      <w:r w:rsidRPr="00A731DC">
        <w:rPr>
          <w:rFonts w:cstheme="minorHAnsi"/>
          <w:color w:val="auto"/>
          <w:sz w:val="24"/>
        </w:rPr>
        <w:t xml:space="preserve"> </w:t>
      </w:r>
    </w:p>
    <w:p w14:paraId="5C9760F8" w14:textId="77777777" w:rsidR="00A731DC" w:rsidRPr="00A731DC" w:rsidRDefault="00A731DC" w:rsidP="00A731DC">
      <w:pPr>
        <w:pStyle w:val="ListParagraph"/>
        <w:numPr>
          <w:ilvl w:val="0"/>
          <w:numId w:val="4"/>
        </w:numPr>
        <w:spacing w:after="200" w:line="276" w:lineRule="auto"/>
        <w:jc w:val="left"/>
        <w:rPr>
          <w:rFonts w:cstheme="minorHAnsi"/>
          <w:color w:val="auto"/>
          <w:sz w:val="24"/>
        </w:rPr>
      </w:pPr>
      <w:r w:rsidRPr="00A731DC">
        <w:rPr>
          <w:rFonts w:cstheme="minorHAnsi"/>
          <w:color w:val="auto"/>
          <w:sz w:val="24"/>
        </w:rPr>
        <w:t>Fra Royal Greenland er kontaktperson HR udviklingskonsulent Sara Biilmann Egede</w:t>
      </w:r>
    </w:p>
    <w:p w14:paraId="366FF744" w14:textId="653290A1" w:rsidR="00A731DC" w:rsidRPr="00A731DC" w:rsidRDefault="00A731DC" w:rsidP="00A731DC">
      <w:pPr>
        <w:pStyle w:val="ListParagraph"/>
        <w:numPr>
          <w:ilvl w:val="0"/>
          <w:numId w:val="4"/>
        </w:numPr>
        <w:spacing w:after="200" w:line="276" w:lineRule="auto"/>
        <w:jc w:val="left"/>
        <w:rPr>
          <w:rFonts w:cstheme="minorHAnsi"/>
          <w:color w:val="auto"/>
          <w:sz w:val="24"/>
        </w:rPr>
      </w:pPr>
      <w:r w:rsidRPr="00A731DC">
        <w:rPr>
          <w:rFonts w:cstheme="minorHAnsi"/>
          <w:color w:val="auto"/>
          <w:sz w:val="24"/>
        </w:rPr>
        <w:t>Fra MIO er kontaktperson</w:t>
      </w:r>
      <w:r w:rsidR="0044629F">
        <w:rPr>
          <w:rFonts w:cstheme="minorHAnsi"/>
          <w:color w:val="auto"/>
          <w:sz w:val="24"/>
        </w:rPr>
        <w:t xml:space="preserve"> sekretariatschef</w:t>
      </w:r>
      <w:r w:rsidRPr="00A731DC">
        <w:rPr>
          <w:rFonts w:cstheme="minorHAnsi"/>
          <w:color w:val="auto"/>
          <w:sz w:val="24"/>
        </w:rPr>
        <w:t xml:space="preserve"> </w:t>
      </w:r>
      <w:r w:rsidR="0044629F">
        <w:rPr>
          <w:rFonts w:cstheme="minorHAnsi"/>
          <w:color w:val="auto"/>
          <w:sz w:val="24"/>
        </w:rPr>
        <w:t>Rasmine Geisler</w:t>
      </w:r>
    </w:p>
    <w:p w14:paraId="006DB822" w14:textId="77777777" w:rsidR="00A731DC" w:rsidRPr="00A731DC" w:rsidRDefault="00A731DC" w:rsidP="00A731DC">
      <w:pPr>
        <w:rPr>
          <w:rFonts w:cstheme="minorHAnsi"/>
          <w:b/>
          <w:bCs/>
          <w:color w:val="auto"/>
          <w:sz w:val="24"/>
        </w:rPr>
      </w:pPr>
      <w:r w:rsidRPr="00A731DC">
        <w:rPr>
          <w:rFonts w:cstheme="minorHAnsi"/>
          <w:b/>
          <w:bCs/>
          <w:color w:val="auto"/>
          <w:sz w:val="24"/>
        </w:rPr>
        <w:t>Opsigelse</w:t>
      </w:r>
    </w:p>
    <w:p w14:paraId="0C3DAE52" w14:textId="0CC9B942" w:rsidR="00A731DC" w:rsidRDefault="00A731DC" w:rsidP="00A731DC">
      <w:pPr>
        <w:rPr>
          <w:rFonts w:cstheme="minorHAnsi"/>
          <w:color w:val="auto"/>
          <w:sz w:val="24"/>
        </w:rPr>
      </w:pPr>
      <w:r w:rsidRPr="00A731DC">
        <w:rPr>
          <w:rFonts w:cstheme="minorHAnsi"/>
          <w:color w:val="auto"/>
          <w:sz w:val="24"/>
        </w:rPr>
        <w:t>Partnerskabsaftalen skal betragtes som en gensidig hensigtserklæring, der ikke er juridisk bindende for parterne. Begge parter kan således opsige aftalen til enhver tid. Ved opsigelse af aftalen bortfalder alle forpligtigelser vedrørende denne. Erlagte ydelser kan ikke kræves tilbageleveret.</w:t>
      </w:r>
    </w:p>
    <w:p w14:paraId="31D4D645" w14:textId="4D2CDEDF" w:rsidR="00DD181C" w:rsidRDefault="00DD181C" w:rsidP="00A731DC">
      <w:pPr>
        <w:rPr>
          <w:rFonts w:cstheme="minorHAnsi"/>
          <w:color w:val="auto"/>
          <w:sz w:val="24"/>
        </w:rPr>
      </w:pPr>
    </w:p>
    <w:p w14:paraId="4D6EE7A1" w14:textId="77777777" w:rsidR="00DD181C" w:rsidRPr="00A731DC" w:rsidRDefault="00DD181C" w:rsidP="00A731DC">
      <w:pPr>
        <w:rPr>
          <w:rFonts w:cstheme="minorHAnsi"/>
          <w:color w:val="auto"/>
          <w:sz w:val="24"/>
        </w:rPr>
      </w:pPr>
    </w:p>
    <w:p w14:paraId="35553B96" w14:textId="77777777" w:rsidR="00A731DC" w:rsidRPr="00A731DC" w:rsidRDefault="00A731DC" w:rsidP="00A731DC">
      <w:pPr>
        <w:rPr>
          <w:rFonts w:cstheme="minorHAnsi"/>
          <w:b/>
          <w:bCs/>
          <w:color w:val="auto"/>
          <w:sz w:val="24"/>
        </w:rPr>
      </w:pPr>
      <w:r w:rsidRPr="00A731DC">
        <w:rPr>
          <w:rFonts w:cstheme="minorHAnsi"/>
          <w:b/>
          <w:bCs/>
          <w:color w:val="auto"/>
          <w:sz w:val="24"/>
        </w:rPr>
        <w:t>Ikrafttrædelse</w:t>
      </w:r>
    </w:p>
    <w:p w14:paraId="21DBA686" w14:textId="77777777" w:rsidR="00A731DC" w:rsidRPr="00A731DC" w:rsidRDefault="00A731DC" w:rsidP="00A731DC">
      <w:pPr>
        <w:rPr>
          <w:rFonts w:cstheme="minorHAnsi"/>
          <w:color w:val="auto"/>
          <w:sz w:val="24"/>
        </w:rPr>
      </w:pPr>
      <w:r w:rsidRPr="00A731DC">
        <w:rPr>
          <w:rFonts w:cstheme="minorHAnsi"/>
          <w:color w:val="auto"/>
          <w:sz w:val="24"/>
        </w:rPr>
        <w:t>Partnerskabsaftalen underskrives af begge parter på et særskilt møde, hvorefter aftalen træder i kraft øjeblikkeligt.</w:t>
      </w:r>
    </w:p>
    <w:p w14:paraId="02902748" w14:textId="77777777" w:rsidR="00A731DC" w:rsidRPr="00A731DC" w:rsidRDefault="00A731DC" w:rsidP="00A731DC">
      <w:pPr>
        <w:rPr>
          <w:rFonts w:cstheme="minorHAnsi"/>
          <w:color w:val="auto"/>
          <w:sz w:val="24"/>
        </w:rPr>
      </w:pPr>
    </w:p>
    <w:p w14:paraId="402DFBC6" w14:textId="3D1CD43E" w:rsidR="00A731DC" w:rsidRPr="0044629F" w:rsidRDefault="00A731DC" w:rsidP="00A731DC">
      <w:pPr>
        <w:tabs>
          <w:tab w:val="center" w:pos="5009"/>
        </w:tabs>
        <w:spacing w:after="442"/>
        <w:ind w:left="0" w:firstLine="0"/>
        <w:jc w:val="left"/>
        <w:rPr>
          <w:rFonts w:asciiTheme="minorHAnsi" w:hAnsiTheme="minorHAnsi" w:cstheme="minorHAnsi"/>
          <w:color w:val="auto"/>
          <w:sz w:val="24"/>
          <w:lang w:val="en-US"/>
        </w:rPr>
      </w:pPr>
      <w:r w:rsidRPr="0044629F">
        <w:rPr>
          <w:rFonts w:asciiTheme="minorHAnsi" w:hAnsiTheme="minorHAnsi" w:cstheme="minorHAnsi"/>
          <w:color w:val="auto"/>
          <w:sz w:val="24"/>
          <w:lang w:val="en-US"/>
        </w:rPr>
        <w:t xml:space="preserve">Nuuk, </w:t>
      </w:r>
      <w:proofErr w:type="gramStart"/>
      <w:r w:rsidRPr="0044629F">
        <w:rPr>
          <w:rFonts w:asciiTheme="minorHAnsi" w:hAnsiTheme="minorHAnsi" w:cstheme="minorHAnsi"/>
          <w:color w:val="auto"/>
          <w:sz w:val="24"/>
          <w:lang w:val="en-US"/>
        </w:rPr>
        <w:t>25.november</w:t>
      </w:r>
      <w:proofErr w:type="gramEnd"/>
      <w:r w:rsidRPr="0044629F">
        <w:rPr>
          <w:rFonts w:asciiTheme="minorHAnsi" w:hAnsiTheme="minorHAnsi" w:cstheme="minorHAnsi"/>
          <w:color w:val="auto"/>
          <w:sz w:val="24"/>
          <w:lang w:val="en-US"/>
        </w:rPr>
        <w:t xml:space="preserve"> 2020</w:t>
      </w:r>
    </w:p>
    <w:p w14:paraId="3F20A6D5" w14:textId="77777777" w:rsidR="00A731DC" w:rsidRPr="0044629F" w:rsidRDefault="00A731DC" w:rsidP="00A731DC">
      <w:pPr>
        <w:tabs>
          <w:tab w:val="center" w:pos="5009"/>
        </w:tabs>
        <w:spacing w:after="442"/>
        <w:ind w:left="0" w:firstLine="0"/>
        <w:jc w:val="left"/>
        <w:rPr>
          <w:rFonts w:asciiTheme="minorHAnsi" w:hAnsiTheme="minorHAnsi" w:cstheme="minorHAnsi"/>
          <w:color w:val="auto"/>
          <w:sz w:val="24"/>
          <w:lang w:val="en-US"/>
        </w:rPr>
      </w:pPr>
      <w:r w:rsidRPr="0044629F">
        <w:rPr>
          <w:rFonts w:asciiTheme="minorHAnsi" w:hAnsiTheme="minorHAnsi" w:cstheme="minorHAnsi"/>
          <w:color w:val="auto"/>
          <w:sz w:val="24"/>
          <w:lang w:val="en-US"/>
        </w:rPr>
        <w:t>__________________________</w:t>
      </w:r>
      <w:r w:rsidRPr="0044629F">
        <w:rPr>
          <w:rFonts w:asciiTheme="minorHAnsi" w:hAnsiTheme="minorHAnsi" w:cstheme="minorHAnsi"/>
          <w:color w:val="auto"/>
          <w:sz w:val="24"/>
          <w:lang w:val="en-US"/>
        </w:rPr>
        <w:tab/>
        <w:t>____             _______________________________</w:t>
      </w:r>
      <w:r w:rsidRPr="0044629F">
        <w:rPr>
          <w:rFonts w:asciiTheme="minorHAnsi" w:hAnsiTheme="minorHAnsi" w:cstheme="minorHAnsi"/>
          <w:color w:val="auto"/>
          <w:sz w:val="24"/>
          <w:lang w:val="en-US"/>
        </w:rPr>
        <w:tab/>
      </w:r>
    </w:p>
    <w:p w14:paraId="148EB251" w14:textId="77777777" w:rsidR="00A731DC" w:rsidRPr="00A731DC" w:rsidRDefault="00A731DC" w:rsidP="00A731DC">
      <w:pPr>
        <w:tabs>
          <w:tab w:val="center" w:pos="6178"/>
        </w:tabs>
        <w:ind w:left="0" w:firstLine="0"/>
        <w:jc w:val="left"/>
        <w:rPr>
          <w:rFonts w:asciiTheme="minorHAnsi" w:hAnsiTheme="minorHAnsi" w:cstheme="minorHAnsi"/>
          <w:color w:val="auto"/>
          <w:sz w:val="24"/>
          <w:lang w:val="en-US"/>
        </w:rPr>
      </w:pPr>
      <w:r w:rsidRPr="00A731DC">
        <w:rPr>
          <w:rFonts w:asciiTheme="minorHAnsi" w:hAnsiTheme="minorHAnsi" w:cstheme="minorHAnsi"/>
          <w:color w:val="auto"/>
          <w:sz w:val="24"/>
          <w:lang w:val="en-US"/>
        </w:rPr>
        <w:t xml:space="preserve">Royal Greenland A/S                                    </w:t>
      </w:r>
      <w:r w:rsidRPr="00A731DC">
        <w:rPr>
          <w:rFonts w:asciiTheme="minorHAnsi" w:hAnsiTheme="minorHAnsi" w:cstheme="minorHAnsi"/>
          <w:color w:val="auto"/>
          <w:sz w:val="24"/>
          <w:lang w:val="en-US"/>
        </w:rPr>
        <w:tab/>
        <w:t>MIO</w:t>
      </w:r>
    </w:p>
    <w:p w14:paraId="24C9FCE3" w14:textId="6EA2E263" w:rsidR="00A731DC" w:rsidRPr="00A731DC" w:rsidRDefault="00A731DC" w:rsidP="00A731DC">
      <w:pPr>
        <w:tabs>
          <w:tab w:val="center" w:pos="6178"/>
        </w:tabs>
        <w:ind w:left="0" w:firstLine="0"/>
        <w:jc w:val="left"/>
        <w:rPr>
          <w:rFonts w:asciiTheme="minorHAnsi" w:hAnsiTheme="minorHAnsi" w:cstheme="minorHAnsi"/>
          <w:color w:val="auto"/>
          <w:sz w:val="24"/>
          <w:lang w:val="en-US"/>
        </w:rPr>
      </w:pPr>
      <w:r w:rsidRPr="00A731DC">
        <w:rPr>
          <w:rFonts w:asciiTheme="minorHAnsi" w:hAnsiTheme="minorHAnsi" w:cstheme="minorHAnsi"/>
          <w:color w:val="auto"/>
          <w:sz w:val="24"/>
          <w:lang w:val="en-US"/>
        </w:rPr>
        <w:t>Jens K. Lyberth</w:t>
      </w:r>
      <w:r w:rsidRPr="00A731DC">
        <w:rPr>
          <w:rFonts w:asciiTheme="minorHAnsi" w:hAnsiTheme="minorHAnsi" w:cstheme="minorHAnsi"/>
          <w:color w:val="auto"/>
          <w:sz w:val="24"/>
          <w:lang w:val="en-US"/>
        </w:rPr>
        <w:tab/>
        <w:t>Aviâja Egede Lynge</w:t>
      </w:r>
      <w:r w:rsidRPr="00A731DC">
        <w:rPr>
          <w:rFonts w:asciiTheme="minorHAnsi" w:hAnsiTheme="minorHAnsi" w:cstheme="minorHAnsi"/>
          <w:color w:val="auto"/>
          <w:sz w:val="24"/>
          <w:lang w:val="en-US"/>
        </w:rPr>
        <w:br/>
        <w:t>Director of Corporate Relations and HR</w:t>
      </w:r>
      <w:r w:rsidRPr="00A731DC">
        <w:rPr>
          <w:rFonts w:asciiTheme="minorHAnsi" w:hAnsiTheme="minorHAnsi" w:cstheme="minorHAnsi"/>
          <w:color w:val="auto"/>
          <w:sz w:val="24"/>
          <w:lang w:val="en-US"/>
        </w:rPr>
        <w:tab/>
      </w:r>
      <w:proofErr w:type="spellStart"/>
      <w:r w:rsidRPr="00A731DC">
        <w:rPr>
          <w:rFonts w:asciiTheme="minorHAnsi" w:hAnsiTheme="minorHAnsi" w:cstheme="minorHAnsi"/>
          <w:color w:val="auto"/>
          <w:sz w:val="24"/>
          <w:lang w:val="en-US"/>
        </w:rPr>
        <w:t>Børnetalskvinde</w:t>
      </w:r>
      <w:proofErr w:type="spellEnd"/>
      <w:r w:rsidRPr="00A731DC">
        <w:rPr>
          <w:rFonts w:asciiTheme="minorHAnsi" w:hAnsiTheme="minorHAnsi" w:cstheme="minorHAnsi"/>
          <w:color w:val="auto"/>
          <w:sz w:val="24"/>
          <w:lang w:val="en-US"/>
        </w:rPr>
        <w:t xml:space="preserve"> </w:t>
      </w:r>
    </w:p>
    <w:p w14:paraId="4643DFA1" w14:textId="77777777" w:rsidR="008D68FA" w:rsidRPr="00A731DC" w:rsidRDefault="008D68FA" w:rsidP="00A731DC">
      <w:pPr>
        <w:spacing w:after="400" w:line="261" w:lineRule="auto"/>
        <w:ind w:left="164" w:hanging="10"/>
        <w:jc w:val="center"/>
        <w:rPr>
          <w:rFonts w:ascii="Verdana" w:hAnsi="Verdana"/>
          <w:color w:val="auto"/>
          <w:sz w:val="24"/>
          <w:lang w:val="en-US"/>
        </w:rPr>
      </w:pPr>
    </w:p>
    <w:sectPr w:rsidR="008D68FA" w:rsidRPr="00A731DC">
      <w:headerReference w:type="even" r:id="rId7"/>
      <w:headerReference w:type="default" r:id="rId8"/>
      <w:footerReference w:type="even" r:id="rId9"/>
      <w:footerReference w:type="default" r:id="rId10"/>
      <w:headerReference w:type="first" r:id="rId11"/>
      <w:footerReference w:type="first" r:id="rId12"/>
      <w:pgSz w:w="11904" w:h="16834"/>
      <w:pgMar w:top="2828" w:right="1426" w:bottom="1921" w:left="138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0F03" w14:textId="77777777" w:rsidR="003021EB" w:rsidRDefault="003021EB" w:rsidP="00A731DC">
      <w:pPr>
        <w:spacing w:after="0" w:line="240" w:lineRule="auto"/>
      </w:pPr>
      <w:r>
        <w:separator/>
      </w:r>
    </w:p>
  </w:endnote>
  <w:endnote w:type="continuationSeparator" w:id="0">
    <w:p w14:paraId="2E209CB1" w14:textId="77777777" w:rsidR="003021EB" w:rsidRDefault="003021EB" w:rsidP="00A7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93E3" w14:textId="77777777" w:rsidR="00DD181C" w:rsidRDefault="00DD1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3AC8" w14:textId="77777777" w:rsidR="00DD181C" w:rsidRDefault="00DD1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5925" w14:textId="77777777" w:rsidR="00DD181C" w:rsidRDefault="00DD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BCAA" w14:textId="77777777" w:rsidR="003021EB" w:rsidRDefault="003021EB" w:rsidP="00A731DC">
      <w:pPr>
        <w:spacing w:after="0" w:line="240" w:lineRule="auto"/>
      </w:pPr>
      <w:r>
        <w:separator/>
      </w:r>
    </w:p>
  </w:footnote>
  <w:footnote w:type="continuationSeparator" w:id="0">
    <w:p w14:paraId="60BF6549" w14:textId="77777777" w:rsidR="003021EB" w:rsidRDefault="003021EB" w:rsidP="00A7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1ABC" w14:textId="77777777" w:rsidR="00DD181C" w:rsidRDefault="00DD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2CC3" w14:textId="29EB816B" w:rsidR="00E95658" w:rsidRPr="00494CCD" w:rsidRDefault="00136C71" w:rsidP="00C472D0">
    <w:pPr>
      <w:pStyle w:val="Header"/>
      <w:ind w:left="5216" w:firstLine="0"/>
    </w:pPr>
    <w:r w:rsidRPr="00597DC4">
      <w:rPr>
        <w:rFonts w:ascii="Sitka Display" w:hAnsi="Sitka Display"/>
        <w:b/>
        <w:bCs/>
        <w:noProof/>
        <w:sz w:val="24"/>
      </w:rPr>
      <w:drawing>
        <wp:anchor distT="0" distB="0" distL="114300" distR="114300" simplePos="0" relativeHeight="251659264" behindDoc="0" locked="0" layoutInCell="1" allowOverlap="0" wp14:anchorId="10569988" wp14:editId="654CB8B7">
          <wp:simplePos x="0" y="0"/>
          <wp:positionH relativeFrom="column">
            <wp:posOffset>464185</wp:posOffset>
          </wp:positionH>
          <wp:positionV relativeFrom="paragraph">
            <wp:posOffset>6106</wp:posOffset>
          </wp:positionV>
          <wp:extent cx="1207008" cy="823195"/>
          <wp:effectExtent l="0" t="0" r="0" b="0"/>
          <wp:wrapSquare wrapText="bothSides"/>
          <wp:docPr id="7191" name="Picture 7191"/>
          <wp:cNvGraphicFramePr/>
          <a:graphic xmlns:a="http://schemas.openxmlformats.org/drawingml/2006/main">
            <a:graphicData uri="http://schemas.openxmlformats.org/drawingml/2006/picture">
              <pic:pic xmlns:pic="http://schemas.openxmlformats.org/drawingml/2006/picture">
                <pic:nvPicPr>
                  <pic:cNvPr id="7191" name="Picture 7191"/>
                  <pic:cNvPicPr/>
                </pic:nvPicPr>
                <pic:blipFill>
                  <a:blip r:embed="rId1"/>
                  <a:stretch>
                    <a:fillRect/>
                  </a:stretch>
                </pic:blipFill>
                <pic:spPr>
                  <a:xfrm>
                    <a:off x="0" y="0"/>
                    <a:ext cx="1207008" cy="823195"/>
                  </a:xfrm>
                  <a:prstGeom prst="rect">
                    <a:avLst/>
                  </a:prstGeom>
                </pic:spPr>
              </pic:pic>
            </a:graphicData>
          </a:graphic>
        </wp:anchor>
      </w:drawing>
    </w:r>
    <w:r>
      <w:rPr>
        <w:rFonts w:ascii="Sitka Display" w:hAnsi="Sitka Display"/>
        <w:b/>
        <w:bCs/>
        <w:noProof/>
        <w:sz w:val="24"/>
      </w:rPr>
      <w:t xml:space="preserve">                     </w:t>
    </w:r>
    <w:r w:rsidR="00A731DC">
      <w:rPr>
        <w:rFonts w:ascii="Sitka Display" w:hAnsi="Sitka Display"/>
        <w:b/>
        <w:bCs/>
        <w:noProof/>
        <w:sz w:val="24"/>
      </w:rPr>
      <w:drawing>
        <wp:inline distT="0" distB="0" distL="0" distR="0" wp14:anchorId="4AD0B273" wp14:editId="6266D60E">
          <wp:extent cx="1095375" cy="895350"/>
          <wp:effectExtent l="0" t="0" r="952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MIO_logo-1.png"/>
                  <pic:cNvPicPr/>
                </pic:nvPicPr>
                <pic:blipFill>
                  <a:blip r:embed="rId2">
                    <a:extLst>
                      <a:ext uri="{28A0092B-C50C-407E-A947-70E740481C1C}">
                        <a14:useLocalDpi xmlns:a14="http://schemas.microsoft.com/office/drawing/2010/main" val="0"/>
                      </a:ext>
                    </a:extLst>
                  </a:blip>
                  <a:stretch>
                    <a:fillRect/>
                  </a:stretch>
                </pic:blipFill>
                <pic:spPr>
                  <a:xfrm>
                    <a:off x="0" y="0"/>
                    <a:ext cx="1095375" cy="895350"/>
                  </a:xfrm>
                  <a:prstGeom prst="rect">
                    <a:avLst/>
                  </a:prstGeom>
                </pic:spPr>
              </pic:pic>
            </a:graphicData>
          </a:graphic>
        </wp:inline>
      </w:drawing>
    </w:r>
    <w:r>
      <w:rPr>
        <w:rFonts w:ascii="Sitka Display" w:hAnsi="Sitka Display"/>
        <w:b/>
        <w:bCs/>
        <w:noProo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A597" w14:textId="77777777" w:rsidR="00DD181C" w:rsidRDefault="00DD1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91E"/>
    <w:multiLevelType w:val="hybridMultilevel"/>
    <w:tmpl w:val="D14AC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F6695"/>
    <w:multiLevelType w:val="hybridMultilevel"/>
    <w:tmpl w:val="81F4FB40"/>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2" w15:restartNumberingAfterBreak="0">
    <w:nsid w:val="53246554"/>
    <w:multiLevelType w:val="hybridMultilevel"/>
    <w:tmpl w:val="42144574"/>
    <w:lvl w:ilvl="0" w:tplc="39E470C2">
      <w:start w:val="3900"/>
      <w:numFmt w:val="bullet"/>
      <w:lvlText w:val="-"/>
      <w:lvlJc w:val="left"/>
      <w:pPr>
        <w:ind w:left="421" w:hanging="360"/>
      </w:pPr>
      <w:rPr>
        <w:rFonts w:ascii="Sitka Display" w:eastAsia="Calibri" w:hAnsi="Sitka Display" w:cs="Calibri" w:hint="default"/>
      </w:rPr>
    </w:lvl>
    <w:lvl w:ilvl="1" w:tplc="20000003" w:tentative="1">
      <w:start w:val="1"/>
      <w:numFmt w:val="bullet"/>
      <w:lvlText w:val="o"/>
      <w:lvlJc w:val="left"/>
      <w:pPr>
        <w:ind w:left="1141" w:hanging="360"/>
      </w:pPr>
      <w:rPr>
        <w:rFonts w:ascii="Courier New" w:hAnsi="Courier New" w:cs="Courier New" w:hint="default"/>
      </w:rPr>
    </w:lvl>
    <w:lvl w:ilvl="2" w:tplc="20000005" w:tentative="1">
      <w:start w:val="1"/>
      <w:numFmt w:val="bullet"/>
      <w:lvlText w:val=""/>
      <w:lvlJc w:val="left"/>
      <w:pPr>
        <w:ind w:left="1861" w:hanging="360"/>
      </w:pPr>
      <w:rPr>
        <w:rFonts w:ascii="Wingdings" w:hAnsi="Wingdings" w:hint="default"/>
      </w:rPr>
    </w:lvl>
    <w:lvl w:ilvl="3" w:tplc="20000001" w:tentative="1">
      <w:start w:val="1"/>
      <w:numFmt w:val="bullet"/>
      <w:lvlText w:val=""/>
      <w:lvlJc w:val="left"/>
      <w:pPr>
        <w:ind w:left="2581" w:hanging="360"/>
      </w:pPr>
      <w:rPr>
        <w:rFonts w:ascii="Symbol" w:hAnsi="Symbol" w:hint="default"/>
      </w:rPr>
    </w:lvl>
    <w:lvl w:ilvl="4" w:tplc="20000003" w:tentative="1">
      <w:start w:val="1"/>
      <w:numFmt w:val="bullet"/>
      <w:lvlText w:val="o"/>
      <w:lvlJc w:val="left"/>
      <w:pPr>
        <w:ind w:left="3301" w:hanging="360"/>
      </w:pPr>
      <w:rPr>
        <w:rFonts w:ascii="Courier New" w:hAnsi="Courier New" w:cs="Courier New" w:hint="default"/>
      </w:rPr>
    </w:lvl>
    <w:lvl w:ilvl="5" w:tplc="20000005" w:tentative="1">
      <w:start w:val="1"/>
      <w:numFmt w:val="bullet"/>
      <w:lvlText w:val=""/>
      <w:lvlJc w:val="left"/>
      <w:pPr>
        <w:ind w:left="4021" w:hanging="360"/>
      </w:pPr>
      <w:rPr>
        <w:rFonts w:ascii="Wingdings" w:hAnsi="Wingdings" w:hint="default"/>
      </w:rPr>
    </w:lvl>
    <w:lvl w:ilvl="6" w:tplc="20000001" w:tentative="1">
      <w:start w:val="1"/>
      <w:numFmt w:val="bullet"/>
      <w:lvlText w:val=""/>
      <w:lvlJc w:val="left"/>
      <w:pPr>
        <w:ind w:left="4741" w:hanging="360"/>
      </w:pPr>
      <w:rPr>
        <w:rFonts w:ascii="Symbol" w:hAnsi="Symbol" w:hint="default"/>
      </w:rPr>
    </w:lvl>
    <w:lvl w:ilvl="7" w:tplc="20000003" w:tentative="1">
      <w:start w:val="1"/>
      <w:numFmt w:val="bullet"/>
      <w:lvlText w:val="o"/>
      <w:lvlJc w:val="left"/>
      <w:pPr>
        <w:ind w:left="5461" w:hanging="360"/>
      </w:pPr>
      <w:rPr>
        <w:rFonts w:ascii="Courier New" w:hAnsi="Courier New" w:cs="Courier New" w:hint="default"/>
      </w:rPr>
    </w:lvl>
    <w:lvl w:ilvl="8" w:tplc="20000005" w:tentative="1">
      <w:start w:val="1"/>
      <w:numFmt w:val="bullet"/>
      <w:lvlText w:val=""/>
      <w:lvlJc w:val="left"/>
      <w:pPr>
        <w:ind w:left="6181" w:hanging="360"/>
      </w:pPr>
      <w:rPr>
        <w:rFonts w:ascii="Wingdings" w:hAnsi="Wingdings" w:hint="default"/>
      </w:rPr>
    </w:lvl>
  </w:abstractNum>
  <w:abstractNum w:abstractNumId="3" w15:restartNumberingAfterBreak="0">
    <w:nsid w:val="6D4945A3"/>
    <w:multiLevelType w:val="hybridMultilevel"/>
    <w:tmpl w:val="C86A14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DC"/>
    <w:rsid w:val="00136C71"/>
    <w:rsid w:val="003021EB"/>
    <w:rsid w:val="00392268"/>
    <w:rsid w:val="0044629F"/>
    <w:rsid w:val="00653AFE"/>
    <w:rsid w:val="008D68FA"/>
    <w:rsid w:val="00A731DC"/>
    <w:rsid w:val="00DD181C"/>
    <w:rsid w:val="00E73D1B"/>
    <w:rsid w:val="00EA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AFAB"/>
  <w15:chartTrackingRefBased/>
  <w15:docId w15:val="{4BA58A4F-2BC7-488E-838A-1661CA97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1DC"/>
    <w:pPr>
      <w:spacing w:after="271" w:line="219" w:lineRule="auto"/>
      <w:ind w:left="62" w:firstLine="9"/>
      <w:jc w:val="both"/>
    </w:pPr>
    <w:rPr>
      <w:rFonts w:ascii="Calibri" w:eastAsia="Calibri" w:hAnsi="Calibri" w:cs="Calibri"/>
      <w:color w:val="000000"/>
      <w:sz w:val="26"/>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DC"/>
    <w:pPr>
      <w:ind w:left="720"/>
      <w:contextualSpacing/>
    </w:pPr>
  </w:style>
  <w:style w:type="table" w:styleId="TableGrid">
    <w:name w:val="Table Grid"/>
    <w:basedOn w:val="TableNormal"/>
    <w:uiPriority w:val="39"/>
    <w:rsid w:val="00A731DC"/>
    <w:pPr>
      <w:spacing w:after="0" w:line="240" w:lineRule="auto"/>
    </w:pPr>
    <w:rPr>
      <w:rFonts w:eastAsiaTheme="minorEastAsia"/>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1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1DC"/>
    <w:rPr>
      <w:rFonts w:ascii="Calibri" w:eastAsia="Calibri" w:hAnsi="Calibri" w:cs="Calibri"/>
      <w:color w:val="000000"/>
      <w:sz w:val="26"/>
      <w:szCs w:val="24"/>
      <w:lang w:val="da-DK" w:eastAsia="da-DK"/>
    </w:rPr>
  </w:style>
  <w:style w:type="paragraph" w:styleId="Footer">
    <w:name w:val="footer"/>
    <w:basedOn w:val="Normal"/>
    <w:link w:val="FooterChar"/>
    <w:uiPriority w:val="99"/>
    <w:unhideWhenUsed/>
    <w:rsid w:val="00A731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1DC"/>
    <w:rPr>
      <w:rFonts w:ascii="Calibri" w:eastAsia="Calibri" w:hAnsi="Calibri" w:cs="Calibri"/>
      <w:color w:val="000000"/>
      <w:sz w:val="26"/>
      <w:szCs w:val="24"/>
      <w:lang w:val="da-DK" w:eastAsia="da-DK"/>
    </w:rPr>
  </w:style>
  <w:style w:type="paragraph" w:styleId="BalloonText">
    <w:name w:val="Balloon Text"/>
    <w:basedOn w:val="Normal"/>
    <w:link w:val="BalloonTextChar"/>
    <w:uiPriority w:val="99"/>
    <w:semiHidden/>
    <w:unhideWhenUsed/>
    <w:rsid w:val="00A7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DC"/>
    <w:rPr>
      <w:rFonts w:ascii="Segoe UI" w:eastAsia="Calibri" w:hAnsi="Segoe UI" w:cs="Segoe UI"/>
      <w:color w:val="000000"/>
      <w:sz w:val="18"/>
      <w:szCs w:val="1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Markussen Inga Dora</dc:creator>
  <cp:keywords/>
  <dc:description/>
  <cp:lastModifiedBy>Egede Sara Biilmann</cp:lastModifiedBy>
  <cp:revision>2</cp:revision>
  <cp:lastPrinted>2020-11-23T14:54:00Z</cp:lastPrinted>
  <dcterms:created xsi:type="dcterms:W3CDTF">2020-11-25T11:49:00Z</dcterms:created>
  <dcterms:modified xsi:type="dcterms:W3CDTF">2020-11-25T11:49:00Z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c9b483-fc9f-4939-ad0b-d1d47abee121_Enabled">
    <vt:lpwstr>true</vt:lpwstr>
  </property>
  <property fmtid="{D5CDD505-2E9C-101B-9397-08002B2CF9AE}" pid="3" name="MSIP_Label_04c9b483-fc9f-4939-ad0b-d1d47abee121_SetDate">
    <vt:lpwstr>2020-11-23T15:01:49Z</vt:lpwstr>
  </property>
  <property fmtid="{D5CDD505-2E9C-101B-9397-08002B2CF9AE}" pid="4" name="MSIP_Label_04c9b483-fc9f-4939-ad0b-d1d47abee121_Method">
    <vt:lpwstr>Standard</vt:lpwstr>
  </property>
  <property fmtid="{D5CDD505-2E9C-101B-9397-08002B2CF9AE}" pid="5" name="MSIP_Label_04c9b483-fc9f-4939-ad0b-d1d47abee121_Name">
    <vt:lpwstr>Public</vt:lpwstr>
  </property>
  <property fmtid="{D5CDD505-2E9C-101B-9397-08002B2CF9AE}" pid="6" name="MSIP_Label_04c9b483-fc9f-4939-ad0b-d1d47abee121_SiteId">
    <vt:lpwstr>fcfb200a-f17e-44d2-a8d3-020a0fe2d71b</vt:lpwstr>
  </property>
  <property fmtid="{D5CDD505-2E9C-101B-9397-08002B2CF9AE}" pid="7" name="MSIP_Label_04c9b483-fc9f-4939-ad0b-d1d47abee121_ActionId">
    <vt:lpwstr>677dc373-9034-42fc-86b0-3cb9c7c8c826</vt:lpwstr>
  </property>
  <property fmtid="{D5CDD505-2E9C-101B-9397-08002B2CF9AE}" pid="8" name="MSIP_Label_04c9b483-fc9f-4939-ad0b-d1d47abee121_ContentBits">
    <vt:lpwstr>0</vt:lpwstr>
  </property>
</Properties>
</file>